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0E" w:rsidRPr="00437E50" w:rsidRDefault="006F2F0E" w:rsidP="00437E50">
      <w:pPr>
        <w:spacing w:line="276" w:lineRule="auto"/>
        <w:rPr>
          <w:snapToGrid w:val="0"/>
          <w:color w:val="000000"/>
          <w:u w:color="000000"/>
        </w:rPr>
      </w:pPr>
    </w:p>
    <w:p w:rsidR="007B63F2" w:rsidRPr="007B63F2" w:rsidRDefault="007B63F2" w:rsidP="007B63F2">
      <w:pPr>
        <w:tabs>
          <w:tab w:val="left" w:pos="6804"/>
        </w:tabs>
        <w:spacing w:line="276" w:lineRule="auto"/>
        <w:rPr>
          <w:rFonts w:eastAsia="Times New Roman" w:cs="Verdana"/>
          <w:lang w:eastAsia="en-US"/>
        </w:rPr>
      </w:pPr>
      <w:r>
        <w:rPr>
          <w:rFonts w:eastAsia="Times New Roman" w:cs="Verdana"/>
          <w:lang w:eastAsia="en-US"/>
        </w:rPr>
        <w:tab/>
      </w:r>
      <w:r w:rsidRPr="007B63F2">
        <w:rPr>
          <w:rFonts w:eastAsia="Times New Roman" w:cs="Verdana"/>
          <w:lang w:eastAsia="en-US"/>
        </w:rPr>
        <w:t>1</w:t>
      </w:r>
      <w:r w:rsidR="00211C3B">
        <w:rPr>
          <w:rFonts w:eastAsia="Times New Roman" w:cs="Verdana"/>
          <w:lang w:eastAsia="en-US"/>
        </w:rPr>
        <w:t>5</w:t>
      </w:r>
      <w:r w:rsidRPr="007B63F2">
        <w:rPr>
          <w:rFonts w:eastAsia="Times New Roman" w:cs="Verdana"/>
          <w:lang w:eastAsia="en-US"/>
        </w:rPr>
        <w:t>.0</w:t>
      </w:r>
      <w:r w:rsidR="00211C3B">
        <w:rPr>
          <w:rFonts w:eastAsia="Times New Roman" w:cs="Verdana"/>
          <w:lang w:eastAsia="en-US"/>
        </w:rPr>
        <w:t>3</w:t>
      </w:r>
      <w:r w:rsidRPr="007B63F2">
        <w:rPr>
          <w:rFonts w:eastAsia="Times New Roman" w:cs="Verdana"/>
          <w:lang w:eastAsia="en-US"/>
        </w:rPr>
        <w:t>.201</w:t>
      </w:r>
      <w:r w:rsidR="00211C3B">
        <w:rPr>
          <w:rFonts w:eastAsia="Times New Roman" w:cs="Verdana"/>
          <w:lang w:eastAsia="en-US"/>
        </w:rPr>
        <w:t>3</w:t>
      </w:r>
    </w:p>
    <w:p w:rsidR="007B63F2" w:rsidRPr="007B63F2" w:rsidRDefault="007B63F2" w:rsidP="007B63F2">
      <w:pPr>
        <w:tabs>
          <w:tab w:val="left" w:pos="6804"/>
        </w:tabs>
        <w:spacing w:line="276" w:lineRule="auto"/>
        <w:rPr>
          <w:rFonts w:eastAsia="Times New Roman" w:cs="Verdana"/>
          <w:lang w:eastAsia="en-US"/>
        </w:rPr>
      </w:pPr>
      <w:r>
        <w:rPr>
          <w:rFonts w:eastAsia="Times New Roman" w:cs="Verdana"/>
          <w:lang w:eastAsia="en-US"/>
        </w:rPr>
        <w:tab/>
      </w:r>
      <w:r w:rsidRPr="007B63F2">
        <w:rPr>
          <w:rFonts w:eastAsia="Times New Roman" w:cs="Verdana"/>
          <w:lang w:eastAsia="en-US"/>
        </w:rPr>
        <w:t>Dr. H. Poultidis, DW 3858</w:t>
      </w:r>
    </w:p>
    <w:p w:rsidR="007B63F2" w:rsidRDefault="007B63F2" w:rsidP="00437E50">
      <w:pPr>
        <w:spacing w:line="276" w:lineRule="auto"/>
        <w:rPr>
          <w:rFonts w:eastAsia="Times New Roman" w:cs="Verdana"/>
          <w:b/>
          <w:lang w:eastAsia="en-US"/>
        </w:rPr>
      </w:pPr>
    </w:p>
    <w:p w:rsidR="007B63F2" w:rsidRDefault="007B63F2" w:rsidP="00437E50">
      <w:pPr>
        <w:spacing w:line="276" w:lineRule="auto"/>
        <w:rPr>
          <w:rFonts w:eastAsia="Times New Roman" w:cs="Verdana"/>
          <w:b/>
          <w:lang w:eastAsia="en-US"/>
        </w:rPr>
      </w:pPr>
    </w:p>
    <w:p w:rsidR="00211C3B" w:rsidRDefault="00211C3B" w:rsidP="00437E50">
      <w:pPr>
        <w:spacing w:line="276" w:lineRule="auto"/>
        <w:rPr>
          <w:rFonts w:eastAsia="Times New Roman" w:cs="Verdana"/>
          <w:b/>
          <w:lang w:eastAsia="en-US"/>
        </w:rPr>
      </w:pPr>
      <w:r>
        <w:rPr>
          <w:rFonts w:eastAsia="Times New Roman" w:cs="Verdana"/>
          <w:b/>
          <w:lang w:eastAsia="en-US"/>
        </w:rPr>
        <w:t>Begutachtungsentwurf Novelle der Gas-Markmodell-Verordnung 201</w:t>
      </w:r>
      <w:r w:rsidR="00066085">
        <w:rPr>
          <w:rFonts w:eastAsia="Times New Roman" w:cs="Verdana"/>
          <w:b/>
          <w:lang w:eastAsia="en-US"/>
        </w:rPr>
        <w:t>3</w:t>
      </w:r>
      <w:r>
        <w:rPr>
          <w:rFonts w:eastAsia="Times New Roman" w:cs="Verdana"/>
          <w:b/>
          <w:lang w:eastAsia="en-US"/>
        </w:rPr>
        <w:t>.</w:t>
      </w:r>
    </w:p>
    <w:p w:rsidR="000B0203" w:rsidRDefault="00927C43" w:rsidP="00437E50">
      <w:pPr>
        <w:spacing w:line="276" w:lineRule="auto"/>
        <w:rPr>
          <w:rFonts w:eastAsia="Times New Roman" w:cs="Verdana"/>
          <w:b/>
          <w:lang w:eastAsia="en-US"/>
        </w:rPr>
      </w:pPr>
      <w:r>
        <w:rPr>
          <w:rFonts w:eastAsia="Times New Roman" w:cs="Verdana"/>
          <w:b/>
          <w:lang w:eastAsia="en-US"/>
        </w:rPr>
        <w:t xml:space="preserve">Stellungnahme der </w:t>
      </w:r>
      <w:r w:rsidR="00013341">
        <w:rPr>
          <w:rFonts w:eastAsia="Times New Roman" w:cs="Verdana"/>
          <w:b/>
          <w:lang w:eastAsia="en-US"/>
        </w:rPr>
        <w:t>Borealis Agrolinz Melamine</w:t>
      </w:r>
    </w:p>
    <w:p w:rsidR="00927C43" w:rsidRDefault="00927C43" w:rsidP="00437E50">
      <w:pPr>
        <w:spacing w:line="276" w:lineRule="auto"/>
        <w:rPr>
          <w:rFonts w:eastAsia="Times New Roman" w:cs="Verdana"/>
          <w:b/>
          <w:lang w:eastAsia="en-US"/>
        </w:rPr>
      </w:pPr>
    </w:p>
    <w:p w:rsidR="00927C43" w:rsidRDefault="00013341" w:rsidP="00437E50">
      <w:pPr>
        <w:spacing w:line="276" w:lineRule="auto"/>
        <w:rPr>
          <w:rFonts w:eastAsia="Times New Roman" w:cs="Verdana"/>
          <w:lang w:eastAsia="en-US"/>
        </w:rPr>
      </w:pPr>
      <w:r>
        <w:rPr>
          <w:rFonts w:eastAsia="Times New Roman" w:cs="Verdana"/>
          <w:lang w:eastAsia="en-US"/>
        </w:rPr>
        <w:t>Borealis</w:t>
      </w:r>
      <w:r w:rsidR="00927C43">
        <w:rPr>
          <w:rFonts w:eastAsia="Times New Roman" w:cs="Verdana"/>
          <w:lang w:eastAsia="en-US"/>
        </w:rPr>
        <w:t xml:space="preserve"> bedankt sich für die Möglichkeit der Stellungnahme in einem adäquaten Zeitraum und würde eine ähnliche Vorgehensweise mit großzügigen Stellungnahmefristen auch bei anderen Gesetztesbegutachtungen begrüßen.</w:t>
      </w:r>
    </w:p>
    <w:p w:rsidR="000B0203" w:rsidRDefault="000B0203" w:rsidP="00437E50">
      <w:pPr>
        <w:spacing w:line="276" w:lineRule="auto"/>
        <w:rPr>
          <w:snapToGrid w:val="0"/>
          <w:color w:val="000000"/>
          <w:u w:color="000000"/>
        </w:rPr>
      </w:pPr>
    </w:p>
    <w:p w:rsidR="00314308" w:rsidRPr="00314308" w:rsidRDefault="00211C3B" w:rsidP="00437E50">
      <w:pPr>
        <w:spacing w:line="276" w:lineRule="auto"/>
        <w:rPr>
          <w:b/>
          <w:snapToGrid w:val="0"/>
          <w:color w:val="000000"/>
          <w:u w:color="000000"/>
        </w:rPr>
      </w:pPr>
      <w:bookmarkStart w:id="0" w:name="_GoBack"/>
      <w:r>
        <w:rPr>
          <w:b/>
          <w:snapToGrid w:val="0"/>
          <w:color w:val="000000"/>
          <w:u w:color="000000"/>
        </w:rPr>
        <w:t>Zum Novellierungsvorschlag möchten wir wie folgt Stellung nehmen:</w:t>
      </w:r>
    </w:p>
    <w:bookmarkEnd w:id="0"/>
    <w:p w:rsidR="00314308" w:rsidRPr="00437E50" w:rsidRDefault="00314308" w:rsidP="00437E50">
      <w:pPr>
        <w:spacing w:line="276" w:lineRule="auto"/>
        <w:rPr>
          <w:snapToGrid w:val="0"/>
          <w:color w:val="000000"/>
          <w:u w:color="000000"/>
        </w:rPr>
      </w:pPr>
    </w:p>
    <w:p w:rsidR="00211C3B" w:rsidRDefault="00F53289" w:rsidP="00F53289">
      <w:pPr>
        <w:spacing w:line="276" w:lineRule="auto"/>
        <w:rPr>
          <w:rFonts w:cs="Arial"/>
          <w:b/>
          <w:lang w:val="de-DE"/>
        </w:rPr>
      </w:pPr>
      <w:r w:rsidRPr="00437E50">
        <w:rPr>
          <w:rFonts w:cs="Arial"/>
          <w:b/>
          <w:lang w:val="de-DE"/>
        </w:rPr>
        <w:t>§</w:t>
      </w:r>
      <w:r w:rsidR="00211C3B">
        <w:rPr>
          <w:rFonts w:cs="Arial"/>
          <w:b/>
          <w:lang w:val="de-DE"/>
        </w:rPr>
        <w:t xml:space="preserve"> 26 Abs. 6</w:t>
      </w:r>
      <w:r w:rsidRPr="00437E50">
        <w:rPr>
          <w:rFonts w:cs="Arial"/>
          <w:b/>
          <w:lang w:val="de-DE"/>
        </w:rPr>
        <w:t xml:space="preserve"> </w:t>
      </w:r>
    </w:p>
    <w:p w:rsidR="00211C3B" w:rsidRDefault="00211C3B" w:rsidP="00211C3B">
      <w:pPr>
        <w:spacing w:line="276" w:lineRule="auto"/>
        <w:rPr>
          <w:rFonts w:cs="Arial"/>
          <w:lang w:val="de-DE"/>
        </w:rPr>
      </w:pPr>
      <w:r>
        <w:rPr>
          <w:rFonts w:cs="Arial"/>
          <w:b/>
          <w:lang w:val="de-DE"/>
        </w:rPr>
        <w:t xml:space="preserve">Strukturierungsbeitrag von 0,4 Cent/kWh  </w:t>
      </w:r>
      <w:r w:rsidRPr="00211C3B">
        <w:rPr>
          <w:rFonts w:cs="Arial"/>
          <w:lang w:val="de-DE"/>
        </w:rPr>
        <w:t>ist in seiner Höhe v. uns nicht nachvollzierbar</w:t>
      </w:r>
    </w:p>
    <w:p w:rsidR="00F53289" w:rsidRPr="00437E50" w:rsidRDefault="00211C3B" w:rsidP="00211C3B">
      <w:pPr>
        <w:spacing w:line="276" w:lineRule="auto"/>
        <w:rPr>
          <w:rFonts w:cs="Arial"/>
          <w:lang w:val="de-DE"/>
        </w:rPr>
      </w:pPr>
      <w:r>
        <w:rPr>
          <w:rFonts w:cs="Arial"/>
          <w:lang w:val="de-DE"/>
        </w:rPr>
        <w:t xml:space="preserve">Es handelt sich um </w:t>
      </w:r>
      <w:r w:rsidR="00E305D8">
        <w:rPr>
          <w:rFonts w:cs="Arial"/>
          <w:lang w:val="de-DE"/>
        </w:rPr>
        <w:t>hohe</w:t>
      </w:r>
      <w:r>
        <w:rPr>
          <w:rFonts w:cs="Arial"/>
          <w:lang w:val="de-DE"/>
        </w:rPr>
        <w:t xml:space="preserve"> Beiträge, die Markttechnisch nicht begründbar s</w:t>
      </w:r>
      <w:r w:rsidR="00E305D8">
        <w:rPr>
          <w:rFonts w:cs="Arial"/>
          <w:lang w:val="de-DE"/>
        </w:rPr>
        <w:t>ind.</w:t>
      </w:r>
    </w:p>
    <w:p w:rsidR="00777526" w:rsidRDefault="00777526" w:rsidP="00F53289">
      <w:pPr>
        <w:spacing w:line="276" w:lineRule="auto"/>
      </w:pPr>
    </w:p>
    <w:p w:rsidR="00211C3B" w:rsidRDefault="00F53289" w:rsidP="00211C3B">
      <w:pPr>
        <w:pStyle w:val="Titel1"/>
        <w:numPr>
          <w:ilvl w:val="0"/>
          <w:numId w:val="0"/>
        </w:num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3B4955">
        <w:rPr>
          <w:rFonts w:ascii="Trebuchet MS" w:hAnsi="Trebuchet MS" w:cs="Arial"/>
          <w:b/>
          <w:sz w:val="22"/>
          <w:szCs w:val="22"/>
        </w:rPr>
        <w:t xml:space="preserve">§ </w:t>
      </w:r>
      <w:r w:rsidR="00211C3B">
        <w:rPr>
          <w:rFonts w:ascii="Trebuchet MS" w:hAnsi="Trebuchet MS" w:cs="Arial"/>
          <w:b/>
          <w:sz w:val="22"/>
          <w:szCs w:val="22"/>
        </w:rPr>
        <w:t>32 Abs. 2</w:t>
      </w:r>
    </w:p>
    <w:p w:rsidR="00FD6172" w:rsidRPr="00FD6172" w:rsidRDefault="00FD6172" w:rsidP="00FD6172">
      <w:pPr>
        <w:rPr>
          <w:rFonts w:cs="Arial"/>
          <w:lang w:val="de-DE"/>
        </w:rPr>
      </w:pPr>
      <w:r w:rsidRPr="00FD6172">
        <w:rPr>
          <w:rFonts w:cs="Arial"/>
          <w:lang w:val="de-DE"/>
        </w:rPr>
        <w:t xml:space="preserve">Die asymmetrische Pönalsierung (20% Aufschlag auf AE Zukäufe und 10% Abschläge auf AE Verkäufe) </w:t>
      </w:r>
      <w:r>
        <w:rPr>
          <w:rFonts w:cs="Arial"/>
          <w:lang w:val="de-DE"/>
        </w:rPr>
        <w:t xml:space="preserve">bringt für den Markt keine Vorteile, </w:t>
      </w:r>
      <w:r w:rsidRPr="00FD6172">
        <w:rPr>
          <w:rFonts w:cs="Arial"/>
          <w:lang w:val="de-DE"/>
        </w:rPr>
        <w:t xml:space="preserve">im Gegenteil sogar </w:t>
      </w:r>
      <w:r>
        <w:rPr>
          <w:rFonts w:cs="Arial"/>
          <w:lang w:val="de-DE"/>
        </w:rPr>
        <w:t xml:space="preserve">verursacht </w:t>
      </w:r>
      <w:r w:rsidRPr="00FD6172">
        <w:rPr>
          <w:rFonts w:cs="Arial"/>
          <w:lang w:val="de-DE"/>
        </w:rPr>
        <w:t>zusätzliche</w:t>
      </w:r>
      <w:r>
        <w:rPr>
          <w:rFonts w:cs="Arial"/>
          <w:lang w:val="de-DE"/>
        </w:rPr>
        <w:t xml:space="preserve"> </w:t>
      </w:r>
      <w:r w:rsidRPr="00FD6172">
        <w:rPr>
          <w:rFonts w:cs="Arial"/>
          <w:lang w:val="de-DE"/>
        </w:rPr>
        <w:t>unnötige Kosten.</w:t>
      </w:r>
    </w:p>
    <w:p w:rsidR="00FD6172" w:rsidRPr="00FD6172" w:rsidRDefault="00FD6172" w:rsidP="00FD6172">
      <w:pPr>
        <w:rPr>
          <w:rFonts w:cs="Arial"/>
          <w:lang w:val="de-DE"/>
        </w:rPr>
      </w:pPr>
      <w:r w:rsidRPr="00FD6172">
        <w:rPr>
          <w:rFonts w:cs="Arial"/>
          <w:lang w:val="de-DE"/>
        </w:rPr>
        <w:t xml:space="preserve"> </w:t>
      </w:r>
    </w:p>
    <w:p w:rsidR="00FD6172" w:rsidRPr="00FD6172" w:rsidRDefault="00FD6172" w:rsidP="00FD6172">
      <w:pPr>
        <w:rPr>
          <w:rFonts w:cs="Arial"/>
          <w:lang w:val="de-DE"/>
        </w:rPr>
      </w:pPr>
      <w:r w:rsidRPr="00FD6172">
        <w:rPr>
          <w:rFonts w:cs="Arial"/>
          <w:lang w:val="de-DE"/>
        </w:rPr>
        <w:t>Unser Vorschlag lautet daher, die Pönale komplett zu streichen.</w:t>
      </w:r>
      <w:r>
        <w:rPr>
          <w:rFonts w:cs="Arial"/>
          <w:lang w:val="de-DE"/>
        </w:rPr>
        <w:t xml:space="preserve"> </w:t>
      </w:r>
      <w:r w:rsidRPr="00FD6172">
        <w:rPr>
          <w:rFonts w:cs="Arial"/>
          <w:lang w:val="de-DE"/>
        </w:rPr>
        <w:t xml:space="preserve">Ein Pönale </w:t>
      </w:r>
      <w:r>
        <w:rPr>
          <w:rFonts w:cs="Arial"/>
          <w:lang w:val="de-DE"/>
        </w:rPr>
        <w:t>veru</w:t>
      </w:r>
      <w:r w:rsidRPr="00FD6172">
        <w:rPr>
          <w:rFonts w:cs="Arial"/>
          <w:lang w:val="de-DE"/>
        </w:rPr>
        <w:t>rsacht unnötige Kosten für Versorger und Industrie (Stundenbilanzier</w:t>
      </w:r>
      <w:r>
        <w:rPr>
          <w:rFonts w:cs="Arial"/>
          <w:lang w:val="de-DE"/>
        </w:rPr>
        <w:t>e</w:t>
      </w:r>
      <w:r w:rsidRPr="00FD6172">
        <w:rPr>
          <w:rFonts w:cs="Arial"/>
          <w:lang w:val="de-DE"/>
        </w:rPr>
        <w:t xml:space="preserve">r). </w:t>
      </w:r>
    </w:p>
    <w:p w:rsidR="00FD6172" w:rsidRPr="00FD6172" w:rsidRDefault="00FD6172" w:rsidP="00FD6172">
      <w:pPr>
        <w:rPr>
          <w:rFonts w:cs="Arial"/>
          <w:lang w:val="de-DE"/>
        </w:rPr>
      </w:pPr>
    </w:p>
    <w:p w:rsidR="00FD6172" w:rsidRPr="00FD6172" w:rsidRDefault="00FD6172" w:rsidP="00FD6172">
      <w:pPr>
        <w:rPr>
          <w:rFonts w:cs="Arial"/>
          <w:lang w:val="de-DE"/>
        </w:rPr>
      </w:pPr>
      <w:r>
        <w:rPr>
          <w:rFonts w:cs="Arial"/>
          <w:lang w:val="de-DE"/>
        </w:rPr>
        <w:t xml:space="preserve">Eine faire Verteilung der Kosten für Ausgleichsenergie und Strukturierung </w:t>
      </w:r>
      <w:r w:rsidRPr="00FD6172">
        <w:rPr>
          <w:rFonts w:cs="Arial"/>
          <w:lang w:val="de-DE"/>
        </w:rPr>
        <w:t>auf</w:t>
      </w:r>
      <w:r w:rsidR="00E33BE7">
        <w:rPr>
          <w:rFonts w:cs="Arial"/>
          <w:lang w:val="de-DE"/>
        </w:rPr>
        <w:t xml:space="preserve"> die</w:t>
      </w:r>
      <w:r w:rsidRPr="00FD6172">
        <w:rPr>
          <w:rFonts w:cs="Arial"/>
          <w:lang w:val="de-DE"/>
        </w:rPr>
        <w:t xml:space="preserve"> Marktteilnehmer </w:t>
      </w:r>
      <w:r w:rsidR="00E305D8">
        <w:rPr>
          <w:rFonts w:cs="Arial"/>
          <w:lang w:val="de-DE"/>
        </w:rPr>
        <w:t>ist unbedingt notwendig</w:t>
      </w:r>
      <w:r w:rsidRPr="00FD6172">
        <w:rPr>
          <w:rFonts w:cs="Arial"/>
          <w:lang w:val="de-DE"/>
        </w:rPr>
        <w:t xml:space="preserve">. </w:t>
      </w:r>
    </w:p>
    <w:p w:rsidR="00FD6172" w:rsidRPr="00FD6172" w:rsidRDefault="00FD6172" w:rsidP="00FD6172">
      <w:pPr>
        <w:rPr>
          <w:rFonts w:cs="Arial"/>
          <w:lang w:val="de-DE"/>
        </w:rPr>
      </w:pPr>
      <w:r w:rsidRPr="00FD6172">
        <w:rPr>
          <w:rFonts w:cs="Arial"/>
          <w:lang w:val="de-DE"/>
        </w:rPr>
        <w:t xml:space="preserve">Stundenbilanzierer finanzieren derzeit die Strukturierung der </w:t>
      </w:r>
      <w:proofErr w:type="spellStart"/>
      <w:r w:rsidRPr="00FD6172">
        <w:rPr>
          <w:rFonts w:cs="Arial"/>
          <w:lang w:val="de-DE"/>
        </w:rPr>
        <w:t>Tagesbilanzierer</w:t>
      </w:r>
      <w:proofErr w:type="spellEnd"/>
      <w:r w:rsidRPr="00FD6172">
        <w:rPr>
          <w:rFonts w:cs="Arial"/>
          <w:lang w:val="de-DE"/>
        </w:rPr>
        <w:t xml:space="preserve"> durch Quersubventionierung. </w:t>
      </w:r>
    </w:p>
    <w:p w:rsidR="00FD6172" w:rsidRPr="00FD6172" w:rsidRDefault="00E33BE7" w:rsidP="00FD6172">
      <w:pPr>
        <w:rPr>
          <w:rFonts w:cs="Arial"/>
          <w:lang w:val="de-DE"/>
        </w:rPr>
      </w:pPr>
      <w:r>
        <w:rPr>
          <w:rFonts w:cs="Arial"/>
          <w:lang w:val="de-DE"/>
        </w:rPr>
        <w:t>Die Kunden mit Tagesbilanzierung</w:t>
      </w:r>
      <w:r w:rsidR="00FD6172" w:rsidRPr="00FD6172">
        <w:rPr>
          <w:rFonts w:cs="Arial"/>
          <w:lang w:val="de-DE"/>
        </w:rPr>
        <w:t xml:space="preserve"> sollte</w:t>
      </w:r>
      <w:r>
        <w:rPr>
          <w:rFonts w:cs="Arial"/>
          <w:lang w:val="de-DE"/>
        </w:rPr>
        <w:t>n</w:t>
      </w:r>
      <w:r w:rsidR="00FD6172" w:rsidRPr="00FD6172">
        <w:rPr>
          <w:rFonts w:cs="Arial"/>
          <w:lang w:val="de-DE"/>
        </w:rPr>
        <w:t xml:space="preserve"> entsprechend</w:t>
      </w:r>
      <w:r>
        <w:rPr>
          <w:rFonts w:cs="Arial"/>
          <w:lang w:val="de-DE"/>
        </w:rPr>
        <w:t>e</w:t>
      </w:r>
      <w:r w:rsidR="00FD6172" w:rsidRPr="00FD6172">
        <w:rPr>
          <w:rFonts w:cs="Arial"/>
          <w:lang w:val="de-DE"/>
        </w:rPr>
        <w:t xml:space="preserve"> marktübliche Strukturierungskosten </w:t>
      </w:r>
      <w:r>
        <w:rPr>
          <w:rFonts w:cs="Arial"/>
          <w:lang w:val="de-DE"/>
        </w:rPr>
        <w:t>(</w:t>
      </w:r>
      <w:r w:rsidR="00FD6172" w:rsidRPr="00FD6172">
        <w:rPr>
          <w:rFonts w:cs="Arial"/>
          <w:lang w:val="de-DE"/>
        </w:rPr>
        <w:t>in jedem Fall eine fixe Regelenergieumlage</w:t>
      </w:r>
      <w:r>
        <w:rPr>
          <w:rFonts w:cs="Arial"/>
          <w:lang w:val="de-DE"/>
        </w:rPr>
        <w:t>)</w:t>
      </w:r>
      <w:r w:rsidR="00FD6172" w:rsidRPr="00FD6172">
        <w:rPr>
          <w:rFonts w:cs="Arial"/>
          <w:lang w:val="de-DE"/>
        </w:rPr>
        <w:t xml:space="preserve"> verrechnet </w:t>
      </w:r>
      <w:r>
        <w:rPr>
          <w:rFonts w:cs="Arial"/>
          <w:lang w:val="de-DE"/>
        </w:rPr>
        <w:t>bekommen</w:t>
      </w:r>
      <w:r w:rsidR="00FD6172" w:rsidRPr="00FD6172">
        <w:rPr>
          <w:rFonts w:cs="Arial"/>
          <w:lang w:val="de-DE"/>
        </w:rPr>
        <w:t>. Somit würde die Quersubventionierung gestoppt bzw. gedämpft und eine verursachergerechte Verteilung der Ausgleichsenergiekosten erreicht werden.</w:t>
      </w:r>
    </w:p>
    <w:p w:rsidR="00FD6172" w:rsidRPr="00FD6172" w:rsidRDefault="00FD6172" w:rsidP="00FD6172">
      <w:pPr>
        <w:rPr>
          <w:rFonts w:cs="Arial"/>
          <w:lang w:val="de-DE"/>
        </w:rPr>
      </w:pPr>
    </w:p>
    <w:p w:rsidR="00F53289" w:rsidRPr="00F53289" w:rsidRDefault="00F53289" w:rsidP="00927C43">
      <w:pPr>
        <w:spacing w:line="276" w:lineRule="auto"/>
        <w:rPr>
          <w:snapToGrid w:val="0"/>
          <w:color w:val="000000"/>
          <w:u w:color="000000"/>
        </w:rPr>
      </w:pPr>
    </w:p>
    <w:p w:rsidR="00CB37A1" w:rsidRDefault="00F53289" w:rsidP="00F53289">
      <w:pPr>
        <w:spacing w:line="276" w:lineRule="auto"/>
        <w:rPr>
          <w:snapToGrid w:val="0"/>
          <w:color w:val="000000"/>
          <w:u w:color="000000"/>
        </w:rPr>
      </w:pPr>
      <w:r w:rsidRPr="00F53289">
        <w:rPr>
          <w:snapToGrid w:val="0"/>
          <w:color w:val="000000"/>
          <w:u w:color="000000"/>
        </w:rPr>
        <w:t>Mit freundlichen Grüßen</w:t>
      </w:r>
      <w:r w:rsidR="00CB37A1">
        <w:rPr>
          <w:snapToGrid w:val="0"/>
          <w:color w:val="000000"/>
          <w:u w:color="000000"/>
        </w:rPr>
        <w:t xml:space="preserve"> </w:t>
      </w:r>
    </w:p>
    <w:p w:rsidR="007B63F2" w:rsidRDefault="007B63F2" w:rsidP="00F53289">
      <w:pPr>
        <w:spacing w:line="276" w:lineRule="auto"/>
        <w:rPr>
          <w:snapToGrid w:val="0"/>
          <w:color w:val="000000"/>
          <w:u w:color="000000"/>
        </w:rPr>
      </w:pPr>
      <w:r>
        <w:rPr>
          <w:snapToGrid w:val="0"/>
          <w:color w:val="000000"/>
          <w:u w:color="000000"/>
        </w:rPr>
        <w:t>Borealis Agrolinz Melamine GmbH</w:t>
      </w:r>
    </w:p>
    <w:p w:rsidR="00E25E6B" w:rsidRDefault="00E33BE7" w:rsidP="00437E50">
      <w:pPr>
        <w:spacing w:line="276" w:lineRule="auto"/>
        <w:rPr>
          <w:snapToGrid w:val="0"/>
          <w:color w:val="000000"/>
          <w:u w:color="000000"/>
        </w:rPr>
      </w:pPr>
      <w:r>
        <w:rPr>
          <w:snapToGrid w:val="0"/>
          <w:color w:val="000000"/>
          <w:u w:color="000000"/>
        </w:rPr>
        <w:t xml:space="preserve">Dr. </w:t>
      </w:r>
      <w:r w:rsidR="00F57696">
        <w:rPr>
          <w:snapToGrid w:val="0"/>
          <w:color w:val="000000"/>
          <w:u w:color="000000"/>
        </w:rPr>
        <w:t>Poultidis</w:t>
      </w:r>
    </w:p>
    <w:sectPr w:rsidR="00E25E6B" w:rsidSect="007B63F2">
      <w:headerReference w:type="default" r:id="rId8"/>
      <w:footerReference w:type="default" r:id="rId9"/>
      <w:pgSz w:w="11906" w:h="16838"/>
      <w:pgMar w:top="2552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D47" w:rsidRDefault="005A1D47" w:rsidP="007B63F2">
      <w:r>
        <w:separator/>
      </w:r>
    </w:p>
  </w:endnote>
  <w:endnote w:type="continuationSeparator" w:id="0">
    <w:p w:rsidR="005A1D47" w:rsidRDefault="005A1D47" w:rsidP="007B6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tim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F2" w:rsidRDefault="00CF3239">
    <w:pPr>
      <w:pStyle w:val="Footer"/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6.15pt;margin-top:-17.65pt;width:183.05pt;height:42.2pt;z-index:251662336" stroked="f">
          <v:textbox style="mso-next-textbox:#_x0000_s2050">
            <w:txbxContent>
              <w:p w:rsidR="007B63F2" w:rsidRDefault="007B63F2" w:rsidP="007B63F2">
                <w:pPr>
                  <w:rPr>
                    <w:rFonts w:ascii="Arial" w:hAnsi="Arial"/>
                    <w:sz w:val="12"/>
                  </w:rPr>
                </w:pPr>
                <w:r>
                  <w:rPr>
                    <w:rFonts w:ascii="Arial" w:hAnsi="Arial"/>
                    <w:color w:val="333399"/>
                    <w:sz w:val="12"/>
                  </w:rPr>
                  <w:t>Registriert beim Landes- als Handels-</w:t>
                </w:r>
                <w:r>
                  <w:rPr>
                    <w:rFonts w:ascii="Arial" w:hAnsi="Arial"/>
                    <w:color w:val="333399"/>
                    <w:sz w:val="12"/>
                  </w:rPr>
                  <w:br/>
                </w:r>
                <w:proofErr w:type="spellStart"/>
                <w:r>
                  <w:rPr>
                    <w:rFonts w:ascii="Arial" w:hAnsi="Arial"/>
                    <w:color w:val="333399"/>
                    <w:sz w:val="12"/>
                  </w:rPr>
                  <w:t>gericht</w:t>
                </w:r>
                <w:proofErr w:type="spellEnd"/>
                <w:r>
                  <w:rPr>
                    <w:rFonts w:ascii="Arial" w:hAnsi="Arial"/>
                    <w:color w:val="333399"/>
                    <w:sz w:val="12"/>
                  </w:rPr>
                  <w:t xml:space="preserve"> Linz unter FN 78587 w</w:t>
                </w:r>
                <w:r>
                  <w:rPr>
                    <w:rFonts w:ascii="Arial" w:hAnsi="Arial"/>
                    <w:color w:val="333399"/>
                    <w:sz w:val="12"/>
                  </w:rPr>
                  <w:br/>
                  <w:t>Gesellschaftssitz: Linz</w:t>
                </w:r>
                <w:r>
                  <w:rPr>
                    <w:rFonts w:ascii="Arial" w:hAnsi="Arial"/>
                    <w:color w:val="333399"/>
                    <w:sz w:val="12"/>
                  </w:rPr>
                  <w:br/>
                  <w:t>ATU 23057607 · DVR 0513563</w:t>
                </w:r>
              </w:p>
            </w:txbxContent>
          </v:textbox>
        </v:shape>
      </w:pict>
    </w:r>
    <w:r w:rsidR="007B63F2" w:rsidRPr="007B63F2"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-466076</wp:posOffset>
          </wp:positionH>
          <wp:positionV relativeFrom="paragraph">
            <wp:posOffset>-681444</wp:posOffset>
          </wp:positionV>
          <wp:extent cx="863453" cy="1073888"/>
          <wp:effectExtent l="19050" t="0" r="0" b="0"/>
          <wp:wrapNone/>
          <wp:docPr id="3" name="Picture 5" descr="Responsible C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esponsible Ca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10738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D47" w:rsidRDefault="005A1D47" w:rsidP="007B63F2">
      <w:r>
        <w:separator/>
      </w:r>
    </w:p>
  </w:footnote>
  <w:footnote w:type="continuationSeparator" w:id="0">
    <w:p w:rsidR="005A1D47" w:rsidRDefault="005A1D47" w:rsidP="007B6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F2" w:rsidRDefault="007B63F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-264160</wp:posOffset>
          </wp:positionH>
          <wp:positionV relativeFrom="paragraph">
            <wp:posOffset>-24765</wp:posOffset>
          </wp:positionV>
          <wp:extent cx="1947545" cy="318770"/>
          <wp:effectExtent l="19050" t="0" r="0" b="0"/>
          <wp:wrapNone/>
          <wp:docPr id="1" name="Picture 1" descr="BOREALIS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REALIS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7545" cy="318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F3239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5.45pt;margin-top:-7.4pt;width:183.05pt;height:103.8pt;z-index:251659264;mso-position-horizontal-relative:text;mso-position-vertical-relative:text" stroked="f">
          <v:textbox>
            <w:txbxContent>
              <w:p w:rsidR="007B63F2" w:rsidRDefault="007B63F2" w:rsidP="007B63F2">
                <w:pPr>
                  <w:pStyle w:val="BodyText"/>
                  <w:rPr>
                    <w:b w:val="0"/>
                    <w:color w:val="333399"/>
                    <w:sz w:val="15"/>
                  </w:rPr>
                </w:pPr>
                <w:r>
                  <w:rPr>
                    <w:color w:val="333399"/>
                    <w:sz w:val="15"/>
                  </w:rPr>
                  <w:t>Borealis Agrolinz Melamine GmbH</w:t>
                </w:r>
                <w:r>
                  <w:rPr>
                    <w:color w:val="333399"/>
                    <w:sz w:val="15"/>
                  </w:rPr>
                  <w:br/>
                </w:r>
                <w:r>
                  <w:rPr>
                    <w:color w:val="333399"/>
                    <w:sz w:val="15"/>
                  </w:rPr>
                  <w:br/>
                  <w:t>St.-Peter-</w:t>
                </w:r>
                <w:proofErr w:type="spellStart"/>
                <w:r>
                  <w:rPr>
                    <w:color w:val="333399"/>
                    <w:sz w:val="15"/>
                  </w:rPr>
                  <w:t>Strasse</w:t>
                </w:r>
                <w:proofErr w:type="spellEnd"/>
                <w:r>
                  <w:rPr>
                    <w:color w:val="333399"/>
                    <w:sz w:val="15"/>
                  </w:rPr>
                  <w:t xml:space="preserve"> 25</w:t>
                </w:r>
              </w:p>
              <w:p w:rsidR="007B63F2" w:rsidRDefault="007B63F2" w:rsidP="007B63F2">
                <w:pPr>
                  <w:rPr>
                    <w:rFonts w:ascii="Arial" w:hAnsi="Arial"/>
                    <w:color w:val="333399"/>
                    <w:sz w:val="15"/>
                  </w:rPr>
                </w:pPr>
                <w:r>
                  <w:rPr>
                    <w:rFonts w:ascii="Arial" w:hAnsi="Arial"/>
                    <w:color w:val="333399"/>
                    <w:sz w:val="15"/>
                  </w:rPr>
                  <w:t>A-4021 Linz/Austria</w:t>
                </w:r>
                <w:r>
                  <w:rPr>
                    <w:rFonts w:ascii="Arial" w:hAnsi="Arial"/>
                    <w:color w:val="333399"/>
                    <w:sz w:val="15"/>
                  </w:rPr>
                  <w:br/>
                  <w:t>Tel: +43 732 6914-DW</w:t>
                </w:r>
                <w:r>
                  <w:rPr>
                    <w:rFonts w:ascii="Arial" w:hAnsi="Arial"/>
                    <w:color w:val="333399"/>
                    <w:sz w:val="15"/>
                  </w:rPr>
                  <w:br/>
                  <w:t>Fax: +43 732 6914-DW</w:t>
                </w:r>
              </w:p>
              <w:p w:rsidR="007B63F2" w:rsidRDefault="007B63F2" w:rsidP="007B63F2">
                <w:pPr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color w:val="333399"/>
                    <w:sz w:val="15"/>
                  </w:rPr>
                  <w:t>www.borealisgroup.com</w:t>
                </w:r>
              </w:p>
            </w:txbxContent>
          </v:textbox>
        </v:shape>
      </w:pict>
    </w:r>
  </w:p>
  <w:p w:rsidR="007B63F2" w:rsidRDefault="007B63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281B"/>
    <w:multiLevelType w:val="hybridMultilevel"/>
    <w:tmpl w:val="9424CA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11207"/>
    <w:multiLevelType w:val="hybridMultilevel"/>
    <w:tmpl w:val="724A1644"/>
    <w:lvl w:ilvl="0" w:tplc="93AA738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004FA"/>
    <w:multiLevelType w:val="hybridMultilevel"/>
    <w:tmpl w:val="22544054"/>
    <w:lvl w:ilvl="0" w:tplc="93AA738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454D6"/>
    <w:multiLevelType w:val="hybridMultilevel"/>
    <w:tmpl w:val="3D30D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F15E3"/>
    <w:multiLevelType w:val="hybridMultilevel"/>
    <w:tmpl w:val="E564F3A0"/>
    <w:lvl w:ilvl="0" w:tplc="9C62CE18">
      <w:start w:val="1"/>
      <w:numFmt w:val="bullet"/>
      <w:pStyle w:val="Tit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D6F35"/>
    <w:multiLevelType w:val="hybridMultilevel"/>
    <w:tmpl w:val="071E55A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B265A"/>
    <w:multiLevelType w:val="hybridMultilevel"/>
    <w:tmpl w:val="03FE8BF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667F6"/>
    <w:multiLevelType w:val="hybridMultilevel"/>
    <w:tmpl w:val="112C356E"/>
    <w:lvl w:ilvl="0" w:tplc="7B0CE4A8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DC4AFC">
      <w:start w:val="1"/>
      <w:numFmt w:val="bullet"/>
      <w:lvlText w:val="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F25FA8"/>
    <w:multiLevelType w:val="hybridMultilevel"/>
    <w:tmpl w:val="DECA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F9D"/>
    <w:multiLevelType w:val="hybridMultilevel"/>
    <w:tmpl w:val="5FBE8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91609A"/>
    <w:multiLevelType w:val="hybridMultilevel"/>
    <w:tmpl w:val="5D34E768"/>
    <w:lvl w:ilvl="0" w:tplc="0C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99E6637"/>
    <w:multiLevelType w:val="hybridMultilevel"/>
    <w:tmpl w:val="48984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BE792A"/>
    <w:multiLevelType w:val="hybridMultilevel"/>
    <w:tmpl w:val="41F47A9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B96910"/>
    <w:multiLevelType w:val="hybridMultilevel"/>
    <w:tmpl w:val="33E8C7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D860DC"/>
    <w:multiLevelType w:val="hybridMultilevel"/>
    <w:tmpl w:val="61C2D0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12"/>
  </w:num>
  <w:num w:numId="8">
    <w:abstractNumId w:val="13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6"/>
  </w:num>
  <w:num w:numId="14">
    <w:abstractNumId w:val="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1025"/>
    <w:rsid w:val="00002CAE"/>
    <w:rsid w:val="0000713F"/>
    <w:rsid w:val="000127E2"/>
    <w:rsid w:val="00012D1A"/>
    <w:rsid w:val="00013341"/>
    <w:rsid w:val="00016104"/>
    <w:rsid w:val="00016D43"/>
    <w:rsid w:val="00017563"/>
    <w:rsid w:val="000246FF"/>
    <w:rsid w:val="0003719F"/>
    <w:rsid w:val="00041E2C"/>
    <w:rsid w:val="00046B3B"/>
    <w:rsid w:val="000608E2"/>
    <w:rsid w:val="000641B8"/>
    <w:rsid w:val="00066085"/>
    <w:rsid w:val="00071001"/>
    <w:rsid w:val="00074884"/>
    <w:rsid w:val="00075857"/>
    <w:rsid w:val="00082C8C"/>
    <w:rsid w:val="00092476"/>
    <w:rsid w:val="000963BD"/>
    <w:rsid w:val="000A03C6"/>
    <w:rsid w:val="000A71B3"/>
    <w:rsid w:val="000A71EA"/>
    <w:rsid w:val="000B0203"/>
    <w:rsid w:val="000B3D77"/>
    <w:rsid w:val="000B7855"/>
    <w:rsid w:val="000C4EA0"/>
    <w:rsid w:val="000D607B"/>
    <w:rsid w:val="000D7CD2"/>
    <w:rsid w:val="000F1496"/>
    <w:rsid w:val="000F5FE6"/>
    <w:rsid w:val="000F69DE"/>
    <w:rsid w:val="00102C32"/>
    <w:rsid w:val="00102E04"/>
    <w:rsid w:val="00103E15"/>
    <w:rsid w:val="00106C6F"/>
    <w:rsid w:val="001216E1"/>
    <w:rsid w:val="00123FF7"/>
    <w:rsid w:val="00134B23"/>
    <w:rsid w:val="001455FF"/>
    <w:rsid w:val="00150CF5"/>
    <w:rsid w:val="00166D5F"/>
    <w:rsid w:val="001675EA"/>
    <w:rsid w:val="001722E4"/>
    <w:rsid w:val="00191FD1"/>
    <w:rsid w:val="00193FBA"/>
    <w:rsid w:val="001A1F7F"/>
    <w:rsid w:val="001B03D5"/>
    <w:rsid w:val="001E1AA1"/>
    <w:rsid w:val="001E2D12"/>
    <w:rsid w:val="001F25D1"/>
    <w:rsid w:val="00200EC8"/>
    <w:rsid w:val="0020107C"/>
    <w:rsid w:val="00211C3B"/>
    <w:rsid w:val="00213287"/>
    <w:rsid w:val="00220E0E"/>
    <w:rsid w:val="00224A75"/>
    <w:rsid w:val="00226ADD"/>
    <w:rsid w:val="00235BEE"/>
    <w:rsid w:val="00244621"/>
    <w:rsid w:val="002535CA"/>
    <w:rsid w:val="00253970"/>
    <w:rsid w:val="00261537"/>
    <w:rsid w:val="00261C4B"/>
    <w:rsid w:val="00271D63"/>
    <w:rsid w:val="00277E56"/>
    <w:rsid w:val="00283BF5"/>
    <w:rsid w:val="00293BC8"/>
    <w:rsid w:val="002971D3"/>
    <w:rsid w:val="002A0E98"/>
    <w:rsid w:val="002A0F07"/>
    <w:rsid w:val="002A2E36"/>
    <w:rsid w:val="002A6A53"/>
    <w:rsid w:val="002C33A7"/>
    <w:rsid w:val="002D3A5F"/>
    <w:rsid w:val="002D4063"/>
    <w:rsid w:val="002E40B7"/>
    <w:rsid w:val="002F1025"/>
    <w:rsid w:val="002F7F19"/>
    <w:rsid w:val="00312B3C"/>
    <w:rsid w:val="00314308"/>
    <w:rsid w:val="003161B2"/>
    <w:rsid w:val="003258AF"/>
    <w:rsid w:val="00326AD7"/>
    <w:rsid w:val="00331C9B"/>
    <w:rsid w:val="003351AC"/>
    <w:rsid w:val="00345CAF"/>
    <w:rsid w:val="003470D1"/>
    <w:rsid w:val="00353145"/>
    <w:rsid w:val="00354C94"/>
    <w:rsid w:val="00356823"/>
    <w:rsid w:val="00362862"/>
    <w:rsid w:val="0036627B"/>
    <w:rsid w:val="0037643C"/>
    <w:rsid w:val="00382B0A"/>
    <w:rsid w:val="00384A9F"/>
    <w:rsid w:val="00385222"/>
    <w:rsid w:val="003925AD"/>
    <w:rsid w:val="003956DD"/>
    <w:rsid w:val="003A1397"/>
    <w:rsid w:val="003A3796"/>
    <w:rsid w:val="003A4685"/>
    <w:rsid w:val="003A6640"/>
    <w:rsid w:val="003B4955"/>
    <w:rsid w:val="003B4EF4"/>
    <w:rsid w:val="003C7BD4"/>
    <w:rsid w:val="003D1A2B"/>
    <w:rsid w:val="003D621A"/>
    <w:rsid w:val="003D70C4"/>
    <w:rsid w:val="003D7AD3"/>
    <w:rsid w:val="003E3102"/>
    <w:rsid w:val="003E3BA4"/>
    <w:rsid w:val="003F6C84"/>
    <w:rsid w:val="003F72E9"/>
    <w:rsid w:val="003F792D"/>
    <w:rsid w:val="004026D4"/>
    <w:rsid w:val="00411B54"/>
    <w:rsid w:val="00426B63"/>
    <w:rsid w:val="004270E2"/>
    <w:rsid w:val="00431305"/>
    <w:rsid w:val="00437E50"/>
    <w:rsid w:val="00446AEB"/>
    <w:rsid w:val="00450DC1"/>
    <w:rsid w:val="00454F8D"/>
    <w:rsid w:val="004710AB"/>
    <w:rsid w:val="00471400"/>
    <w:rsid w:val="0047594B"/>
    <w:rsid w:val="00482ED1"/>
    <w:rsid w:val="00483BA2"/>
    <w:rsid w:val="00484B00"/>
    <w:rsid w:val="004A0C5F"/>
    <w:rsid w:val="004C5083"/>
    <w:rsid w:val="004C5BD9"/>
    <w:rsid w:val="004D356B"/>
    <w:rsid w:val="004F23C4"/>
    <w:rsid w:val="005154D9"/>
    <w:rsid w:val="005246B6"/>
    <w:rsid w:val="00527B54"/>
    <w:rsid w:val="00531490"/>
    <w:rsid w:val="00547A59"/>
    <w:rsid w:val="005501F5"/>
    <w:rsid w:val="005534B9"/>
    <w:rsid w:val="005706F9"/>
    <w:rsid w:val="005910A5"/>
    <w:rsid w:val="00591A78"/>
    <w:rsid w:val="00592277"/>
    <w:rsid w:val="00594A44"/>
    <w:rsid w:val="00596D89"/>
    <w:rsid w:val="005A1D47"/>
    <w:rsid w:val="005A7E33"/>
    <w:rsid w:val="005B7474"/>
    <w:rsid w:val="005B7B2B"/>
    <w:rsid w:val="005C5376"/>
    <w:rsid w:val="005D0155"/>
    <w:rsid w:val="005D0BA5"/>
    <w:rsid w:val="005D282D"/>
    <w:rsid w:val="005D3BF4"/>
    <w:rsid w:val="005D6B25"/>
    <w:rsid w:val="0060498F"/>
    <w:rsid w:val="0061028F"/>
    <w:rsid w:val="00616499"/>
    <w:rsid w:val="00617DBA"/>
    <w:rsid w:val="00626C2B"/>
    <w:rsid w:val="0062772A"/>
    <w:rsid w:val="006327CF"/>
    <w:rsid w:val="00640476"/>
    <w:rsid w:val="00654D1B"/>
    <w:rsid w:val="00656C78"/>
    <w:rsid w:val="00662C30"/>
    <w:rsid w:val="0066391E"/>
    <w:rsid w:val="00665515"/>
    <w:rsid w:val="00667712"/>
    <w:rsid w:val="006977D5"/>
    <w:rsid w:val="006A78D2"/>
    <w:rsid w:val="006B464D"/>
    <w:rsid w:val="006D58B7"/>
    <w:rsid w:val="006E0005"/>
    <w:rsid w:val="006E2E0E"/>
    <w:rsid w:val="006E5EB7"/>
    <w:rsid w:val="006F2C6D"/>
    <w:rsid w:val="006F2F0E"/>
    <w:rsid w:val="006F7DFE"/>
    <w:rsid w:val="007050C2"/>
    <w:rsid w:val="00733E21"/>
    <w:rsid w:val="00737458"/>
    <w:rsid w:val="00744E03"/>
    <w:rsid w:val="00746591"/>
    <w:rsid w:val="007572B2"/>
    <w:rsid w:val="00757D59"/>
    <w:rsid w:val="007624B1"/>
    <w:rsid w:val="00764334"/>
    <w:rsid w:val="00764C39"/>
    <w:rsid w:val="00765216"/>
    <w:rsid w:val="00765322"/>
    <w:rsid w:val="00766876"/>
    <w:rsid w:val="0077620A"/>
    <w:rsid w:val="007766FC"/>
    <w:rsid w:val="00777526"/>
    <w:rsid w:val="00780333"/>
    <w:rsid w:val="00782F87"/>
    <w:rsid w:val="00786DF5"/>
    <w:rsid w:val="007A3164"/>
    <w:rsid w:val="007A6524"/>
    <w:rsid w:val="007B63F2"/>
    <w:rsid w:val="007D472B"/>
    <w:rsid w:val="007E6B93"/>
    <w:rsid w:val="007F09A1"/>
    <w:rsid w:val="007F0DCC"/>
    <w:rsid w:val="007F47AD"/>
    <w:rsid w:val="008042C9"/>
    <w:rsid w:val="00813BFA"/>
    <w:rsid w:val="00813C58"/>
    <w:rsid w:val="00822213"/>
    <w:rsid w:val="0082500E"/>
    <w:rsid w:val="00831F79"/>
    <w:rsid w:val="00835A38"/>
    <w:rsid w:val="00841B66"/>
    <w:rsid w:val="008447AB"/>
    <w:rsid w:val="0085688E"/>
    <w:rsid w:val="00861D96"/>
    <w:rsid w:val="00864BB9"/>
    <w:rsid w:val="00873CCE"/>
    <w:rsid w:val="00875856"/>
    <w:rsid w:val="008862DB"/>
    <w:rsid w:val="00886998"/>
    <w:rsid w:val="00897409"/>
    <w:rsid w:val="008A011A"/>
    <w:rsid w:val="008A0FF8"/>
    <w:rsid w:val="008A24DF"/>
    <w:rsid w:val="008A713B"/>
    <w:rsid w:val="008B46EE"/>
    <w:rsid w:val="008C62EC"/>
    <w:rsid w:val="008D6D1E"/>
    <w:rsid w:val="008F06F4"/>
    <w:rsid w:val="008F40A5"/>
    <w:rsid w:val="0090203C"/>
    <w:rsid w:val="00905D69"/>
    <w:rsid w:val="00920707"/>
    <w:rsid w:val="00927C43"/>
    <w:rsid w:val="0093171A"/>
    <w:rsid w:val="00947228"/>
    <w:rsid w:val="00951D89"/>
    <w:rsid w:val="00954E0A"/>
    <w:rsid w:val="00964715"/>
    <w:rsid w:val="00972A60"/>
    <w:rsid w:val="00976333"/>
    <w:rsid w:val="009818E9"/>
    <w:rsid w:val="00982719"/>
    <w:rsid w:val="00990658"/>
    <w:rsid w:val="009A789A"/>
    <w:rsid w:val="009B0061"/>
    <w:rsid w:val="009B14CE"/>
    <w:rsid w:val="009B3E24"/>
    <w:rsid w:val="009C58B4"/>
    <w:rsid w:val="009E0B84"/>
    <w:rsid w:val="009F7963"/>
    <w:rsid w:val="00A01D86"/>
    <w:rsid w:val="00A04226"/>
    <w:rsid w:val="00A053DD"/>
    <w:rsid w:val="00A07A71"/>
    <w:rsid w:val="00A10EC2"/>
    <w:rsid w:val="00A24116"/>
    <w:rsid w:val="00A26AF1"/>
    <w:rsid w:val="00A30D99"/>
    <w:rsid w:val="00A40993"/>
    <w:rsid w:val="00A44660"/>
    <w:rsid w:val="00A675D0"/>
    <w:rsid w:val="00A67EB6"/>
    <w:rsid w:val="00A718F9"/>
    <w:rsid w:val="00A876B4"/>
    <w:rsid w:val="00AC174D"/>
    <w:rsid w:val="00AC215F"/>
    <w:rsid w:val="00AC28F5"/>
    <w:rsid w:val="00AC617A"/>
    <w:rsid w:val="00AD057B"/>
    <w:rsid w:val="00AD104F"/>
    <w:rsid w:val="00AD16CA"/>
    <w:rsid w:val="00AE2B70"/>
    <w:rsid w:val="00B05EEA"/>
    <w:rsid w:val="00B07CF0"/>
    <w:rsid w:val="00B16D7D"/>
    <w:rsid w:val="00B259C5"/>
    <w:rsid w:val="00B27DDA"/>
    <w:rsid w:val="00B313B9"/>
    <w:rsid w:val="00B3531E"/>
    <w:rsid w:val="00B5385A"/>
    <w:rsid w:val="00B56534"/>
    <w:rsid w:val="00BA1C24"/>
    <w:rsid w:val="00BB5056"/>
    <w:rsid w:val="00BB6754"/>
    <w:rsid w:val="00BC2477"/>
    <w:rsid w:val="00BC6C12"/>
    <w:rsid w:val="00BD39D5"/>
    <w:rsid w:val="00BD567B"/>
    <w:rsid w:val="00BD73D0"/>
    <w:rsid w:val="00BD7744"/>
    <w:rsid w:val="00BE79A7"/>
    <w:rsid w:val="00BF2B69"/>
    <w:rsid w:val="00BF312C"/>
    <w:rsid w:val="00C02883"/>
    <w:rsid w:val="00C10E89"/>
    <w:rsid w:val="00C20B50"/>
    <w:rsid w:val="00C20D32"/>
    <w:rsid w:val="00C36B74"/>
    <w:rsid w:val="00C403B5"/>
    <w:rsid w:val="00C42CFE"/>
    <w:rsid w:val="00C45304"/>
    <w:rsid w:val="00C65C5C"/>
    <w:rsid w:val="00C779A5"/>
    <w:rsid w:val="00C8448C"/>
    <w:rsid w:val="00C972BE"/>
    <w:rsid w:val="00CB1F99"/>
    <w:rsid w:val="00CB37A1"/>
    <w:rsid w:val="00CB4B04"/>
    <w:rsid w:val="00CB71CB"/>
    <w:rsid w:val="00CD434B"/>
    <w:rsid w:val="00CD6209"/>
    <w:rsid w:val="00CD7345"/>
    <w:rsid w:val="00CF3239"/>
    <w:rsid w:val="00CF5188"/>
    <w:rsid w:val="00CF54DF"/>
    <w:rsid w:val="00D00A67"/>
    <w:rsid w:val="00D00D00"/>
    <w:rsid w:val="00D0199D"/>
    <w:rsid w:val="00D04C36"/>
    <w:rsid w:val="00D10ED0"/>
    <w:rsid w:val="00D4620F"/>
    <w:rsid w:val="00D5367E"/>
    <w:rsid w:val="00D55033"/>
    <w:rsid w:val="00D55BF3"/>
    <w:rsid w:val="00D60841"/>
    <w:rsid w:val="00D615F1"/>
    <w:rsid w:val="00D710D2"/>
    <w:rsid w:val="00D80ABC"/>
    <w:rsid w:val="00D86C87"/>
    <w:rsid w:val="00D90FF5"/>
    <w:rsid w:val="00D956B6"/>
    <w:rsid w:val="00DA37ED"/>
    <w:rsid w:val="00DA5D6E"/>
    <w:rsid w:val="00DB3E70"/>
    <w:rsid w:val="00DB6699"/>
    <w:rsid w:val="00DC3F56"/>
    <w:rsid w:val="00DC74D1"/>
    <w:rsid w:val="00DC7BC0"/>
    <w:rsid w:val="00DD6B4B"/>
    <w:rsid w:val="00DE516A"/>
    <w:rsid w:val="00DE5505"/>
    <w:rsid w:val="00DE7501"/>
    <w:rsid w:val="00E11A80"/>
    <w:rsid w:val="00E146FB"/>
    <w:rsid w:val="00E25E6B"/>
    <w:rsid w:val="00E305D8"/>
    <w:rsid w:val="00E33347"/>
    <w:rsid w:val="00E3381F"/>
    <w:rsid w:val="00E33BE7"/>
    <w:rsid w:val="00E40CF7"/>
    <w:rsid w:val="00E50617"/>
    <w:rsid w:val="00E51955"/>
    <w:rsid w:val="00E53685"/>
    <w:rsid w:val="00E70AE7"/>
    <w:rsid w:val="00E736C4"/>
    <w:rsid w:val="00E76A26"/>
    <w:rsid w:val="00E8086C"/>
    <w:rsid w:val="00E84725"/>
    <w:rsid w:val="00E85DCF"/>
    <w:rsid w:val="00E95F0C"/>
    <w:rsid w:val="00EA367F"/>
    <w:rsid w:val="00EB42A2"/>
    <w:rsid w:val="00EB432D"/>
    <w:rsid w:val="00EB6EB1"/>
    <w:rsid w:val="00EC5392"/>
    <w:rsid w:val="00EC5E56"/>
    <w:rsid w:val="00EC6603"/>
    <w:rsid w:val="00EE1C1D"/>
    <w:rsid w:val="00EE25FD"/>
    <w:rsid w:val="00F1089C"/>
    <w:rsid w:val="00F11A35"/>
    <w:rsid w:val="00F2629E"/>
    <w:rsid w:val="00F31D66"/>
    <w:rsid w:val="00F325D3"/>
    <w:rsid w:val="00F45B5D"/>
    <w:rsid w:val="00F53289"/>
    <w:rsid w:val="00F56473"/>
    <w:rsid w:val="00F57696"/>
    <w:rsid w:val="00F7001B"/>
    <w:rsid w:val="00F723C7"/>
    <w:rsid w:val="00F82088"/>
    <w:rsid w:val="00F86929"/>
    <w:rsid w:val="00F94622"/>
    <w:rsid w:val="00F9656F"/>
    <w:rsid w:val="00FA68C6"/>
    <w:rsid w:val="00FA7B80"/>
    <w:rsid w:val="00FB3022"/>
    <w:rsid w:val="00FC6679"/>
    <w:rsid w:val="00FD3DA0"/>
    <w:rsid w:val="00FD6172"/>
    <w:rsid w:val="00FE13A5"/>
    <w:rsid w:val="00FE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3D0"/>
    <w:pPr>
      <w:spacing w:line="240" w:lineRule="auto"/>
    </w:pPr>
    <w:rPr>
      <w:rFonts w:ascii="Trebuchet MS" w:eastAsiaTheme="minorHAnsi" w:hAnsi="Trebuchet MS" w:cs="Times New Roman"/>
      <w:lang w:eastAsia="de-AT"/>
    </w:rPr>
  </w:style>
  <w:style w:type="paragraph" w:styleId="Heading1">
    <w:name w:val="heading 1"/>
    <w:basedOn w:val="Normal"/>
    <w:next w:val="Normal"/>
    <w:link w:val="Heading1Char"/>
    <w:qFormat/>
    <w:rsid w:val="00BC2477"/>
    <w:pPr>
      <w:keepNext/>
      <w:pageBreakBefore/>
      <w:spacing w:after="360"/>
      <w:outlineLvl w:val="0"/>
    </w:pPr>
    <w:rPr>
      <w:rFonts w:ascii="Optima" w:hAnsi="Optima"/>
      <w:b/>
      <w:caps/>
      <w:kern w:val="28"/>
      <w:sz w:val="48"/>
    </w:rPr>
  </w:style>
  <w:style w:type="paragraph" w:styleId="Heading2">
    <w:name w:val="heading 2"/>
    <w:basedOn w:val="Normal"/>
    <w:next w:val="Normal"/>
    <w:link w:val="Heading2Char"/>
    <w:qFormat/>
    <w:rsid w:val="00BC2477"/>
    <w:pPr>
      <w:keepNext/>
      <w:spacing w:before="240" w:after="240"/>
      <w:outlineLvl w:val="1"/>
    </w:pPr>
    <w:rPr>
      <w:rFonts w:ascii="Optima" w:hAnsi="Optima"/>
      <w:b/>
      <w:caps/>
      <w:sz w:val="32"/>
    </w:rPr>
  </w:style>
  <w:style w:type="paragraph" w:styleId="Heading3">
    <w:name w:val="heading 3"/>
    <w:basedOn w:val="Normal"/>
    <w:next w:val="Normal"/>
    <w:link w:val="Heading3Char"/>
    <w:qFormat/>
    <w:rsid w:val="00BC2477"/>
    <w:pPr>
      <w:keepNext/>
      <w:spacing w:before="240" w:after="240"/>
      <w:outlineLvl w:val="2"/>
    </w:pPr>
    <w:rPr>
      <w:rFonts w:ascii="Optima" w:hAnsi="Optima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2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22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C2477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C2477"/>
    <w:rPr>
      <w:rFonts w:ascii="Trebuchet MS" w:eastAsia="Times New Roman" w:hAnsi="Trebuchet MS" w:cs="Times New Roman"/>
      <w:sz w:val="18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BC2477"/>
    <w:rPr>
      <w:rFonts w:ascii="Optima" w:eastAsia="Times New Roman" w:hAnsi="Optima" w:cs="Times New Roman"/>
      <w:b/>
      <w:caps/>
      <w:kern w:val="28"/>
      <w:sz w:val="48"/>
      <w:szCs w:val="20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BC2477"/>
    <w:rPr>
      <w:rFonts w:ascii="Optima" w:eastAsia="Times New Roman" w:hAnsi="Optima" w:cs="Times New Roman"/>
      <w:b/>
      <w:caps/>
      <w:sz w:val="32"/>
      <w:szCs w:val="20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BC2477"/>
    <w:rPr>
      <w:rFonts w:ascii="Optima" w:eastAsia="Times New Roman" w:hAnsi="Optima" w:cs="Times New Roman"/>
      <w:b/>
      <w:sz w:val="28"/>
      <w:szCs w:val="20"/>
      <w:lang w:val="de-D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654D1B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54D1B"/>
    <w:rPr>
      <w:rFonts w:ascii="Consolas" w:eastAsia="Calibri" w:hAnsi="Consolas" w:cs="Times New Roman"/>
      <w:sz w:val="21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654D1B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0203"/>
    <w:pPr>
      <w:ind w:left="720"/>
      <w:contextualSpacing/>
    </w:pPr>
  </w:style>
  <w:style w:type="paragraph" w:customStyle="1" w:styleId="Default">
    <w:name w:val="Default"/>
    <w:rsid w:val="000246F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el1">
    <w:name w:val="Titel_1"/>
    <w:basedOn w:val="Normal"/>
    <w:rsid w:val="007A3164"/>
    <w:pPr>
      <w:numPr>
        <w:numId w:val="14"/>
      </w:numPr>
    </w:pPr>
    <w:rPr>
      <w:rFonts w:ascii="Times New Roman" w:eastAsia="Batang" w:hAnsi="Times New Roman"/>
      <w:sz w:val="24"/>
      <w:szCs w:val="24"/>
      <w:lang w:val="de-DE" w:eastAsia="ko-KR"/>
    </w:rPr>
  </w:style>
  <w:style w:type="character" w:styleId="PlaceholderText">
    <w:name w:val="Placeholder Text"/>
    <w:basedOn w:val="DefaultParagraphFont"/>
    <w:uiPriority w:val="99"/>
    <w:semiHidden/>
    <w:rsid w:val="00150CF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B63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3F2"/>
    <w:rPr>
      <w:rFonts w:ascii="Trebuchet MS" w:eastAsiaTheme="minorHAnsi" w:hAnsi="Trebuchet MS" w:cs="Times New Roman"/>
      <w:lang w:eastAsia="de-AT"/>
    </w:rPr>
  </w:style>
  <w:style w:type="paragraph" w:styleId="Footer">
    <w:name w:val="footer"/>
    <w:basedOn w:val="Normal"/>
    <w:link w:val="FooterChar"/>
    <w:uiPriority w:val="99"/>
    <w:semiHidden/>
    <w:unhideWhenUsed/>
    <w:rsid w:val="007B63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63F2"/>
    <w:rPr>
      <w:rFonts w:ascii="Trebuchet MS" w:eastAsiaTheme="minorHAnsi" w:hAnsi="Trebuchet MS" w:cs="Times New Roman"/>
      <w:lang w:eastAsia="de-AT"/>
    </w:rPr>
  </w:style>
  <w:style w:type="paragraph" w:styleId="BodyText">
    <w:name w:val="Body Text"/>
    <w:basedOn w:val="Normal"/>
    <w:link w:val="BodyTextChar"/>
    <w:rsid w:val="007B63F2"/>
    <w:rPr>
      <w:rFonts w:ascii="Arial" w:eastAsia="Times" w:hAnsi="Arial"/>
      <w:b/>
      <w:sz w:val="14"/>
      <w:szCs w:val="20"/>
      <w:lang w:val="de-DE" w:eastAsia="ja-JP"/>
    </w:rPr>
  </w:style>
  <w:style w:type="character" w:customStyle="1" w:styleId="BodyTextChar">
    <w:name w:val="Body Text Char"/>
    <w:basedOn w:val="DefaultParagraphFont"/>
    <w:link w:val="BodyText"/>
    <w:rsid w:val="007B63F2"/>
    <w:rPr>
      <w:rFonts w:ascii="Arial" w:eastAsia="Times" w:hAnsi="Arial" w:cs="Times New Roman"/>
      <w:b/>
      <w:sz w:val="14"/>
      <w:szCs w:val="20"/>
      <w:lang w:val="de-DE" w:eastAsia="ja-JP"/>
    </w:rPr>
  </w:style>
  <w:style w:type="table" w:styleId="TableSimple2">
    <w:name w:val="Table Simple 2"/>
    <w:basedOn w:val="TableNormal"/>
    <w:rsid w:val="00FD6172"/>
    <w:pPr>
      <w:spacing w:line="260" w:lineRule="atLeast"/>
    </w:pPr>
    <w:rPr>
      <w:rFonts w:ascii="Times New Roman" w:hAnsi="Times New Roman" w:cs="Times New Roman"/>
      <w:sz w:val="20"/>
      <w:szCs w:val="20"/>
      <w:lang w:eastAsia="de-AT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D73D0"/>
    <w:pPr>
      <w:spacing w:line="240" w:lineRule="auto"/>
    </w:pPr>
    <w:rPr>
      <w:rFonts w:ascii="Trebuchet MS" w:eastAsiaTheme="minorHAnsi" w:hAnsi="Trebuchet MS" w:cs="Times New Roman"/>
      <w:lang w:eastAsia="de-AT"/>
    </w:rPr>
  </w:style>
  <w:style w:type="paragraph" w:styleId="berschrift1">
    <w:name w:val="heading 1"/>
    <w:basedOn w:val="Standard"/>
    <w:next w:val="Standard"/>
    <w:link w:val="berschrift1Zchn"/>
    <w:qFormat/>
    <w:rsid w:val="00BC2477"/>
    <w:pPr>
      <w:keepNext/>
      <w:pageBreakBefore/>
      <w:spacing w:after="360"/>
      <w:outlineLvl w:val="0"/>
    </w:pPr>
    <w:rPr>
      <w:rFonts w:ascii="Optima" w:hAnsi="Optima"/>
      <w:b/>
      <w:caps/>
      <w:kern w:val="28"/>
      <w:sz w:val="48"/>
    </w:rPr>
  </w:style>
  <w:style w:type="paragraph" w:styleId="berschrift2">
    <w:name w:val="heading 2"/>
    <w:basedOn w:val="Standard"/>
    <w:next w:val="Standard"/>
    <w:link w:val="berschrift2Zchn"/>
    <w:qFormat/>
    <w:rsid w:val="00BC2477"/>
    <w:pPr>
      <w:keepNext/>
      <w:spacing w:before="240" w:after="240"/>
      <w:outlineLvl w:val="1"/>
    </w:pPr>
    <w:rPr>
      <w:rFonts w:ascii="Optima" w:hAnsi="Optima"/>
      <w:b/>
      <w:caps/>
      <w:sz w:val="32"/>
    </w:rPr>
  </w:style>
  <w:style w:type="paragraph" w:styleId="berschrift3">
    <w:name w:val="heading 3"/>
    <w:basedOn w:val="Standard"/>
    <w:next w:val="Standard"/>
    <w:link w:val="berschrift3Zchn"/>
    <w:qFormat/>
    <w:rsid w:val="00BC2477"/>
    <w:pPr>
      <w:keepNext/>
      <w:spacing w:before="240" w:after="240"/>
      <w:outlineLvl w:val="2"/>
    </w:pPr>
    <w:rPr>
      <w:rFonts w:ascii="Optima" w:hAnsi="Optima"/>
      <w:b/>
      <w:sz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522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5222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BC2477"/>
    <w:rPr>
      <w:sz w:val="18"/>
    </w:rPr>
  </w:style>
  <w:style w:type="character" w:customStyle="1" w:styleId="FunotentextZchn">
    <w:name w:val="Fußnotentext Zchn"/>
    <w:basedOn w:val="Absatz-Standardschriftart"/>
    <w:link w:val="Funotentext"/>
    <w:semiHidden/>
    <w:rsid w:val="00BC2477"/>
    <w:rPr>
      <w:rFonts w:ascii="Trebuchet MS" w:eastAsia="Times New Roman" w:hAnsi="Trebuchet MS" w:cs="Times New Roman"/>
      <w:sz w:val="18"/>
      <w:szCs w:val="20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BC2477"/>
    <w:rPr>
      <w:rFonts w:ascii="Optima" w:eastAsia="Times New Roman" w:hAnsi="Optima" w:cs="Times New Roman"/>
      <w:b/>
      <w:caps/>
      <w:kern w:val="28"/>
      <w:sz w:val="48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C2477"/>
    <w:rPr>
      <w:rFonts w:ascii="Optima" w:eastAsia="Times New Roman" w:hAnsi="Optima" w:cs="Times New Roman"/>
      <w:b/>
      <w:caps/>
      <w:sz w:val="32"/>
      <w:szCs w:val="20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rsid w:val="00BC2477"/>
    <w:rPr>
      <w:rFonts w:ascii="Optima" w:eastAsia="Times New Roman" w:hAnsi="Optima" w:cs="Times New Roman"/>
      <w:b/>
      <w:sz w:val="28"/>
      <w:szCs w:val="20"/>
      <w:lang w:val="de-DE" w:eastAsia="de-DE"/>
    </w:rPr>
  </w:style>
  <w:style w:type="paragraph" w:styleId="NurText">
    <w:name w:val="Plain Text"/>
    <w:basedOn w:val="Standard"/>
    <w:link w:val="NurTextZchn"/>
    <w:uiPriority w:val="99"/>
    <w:unhideWhenUsed/>
    <w:rsid w:val="00654D1B"/>
    <w:rPr>
      <w:rFonts w:ascii="Consolas" w:eastAsia="Calibri" w:hAnsi="Consolas"/>
      <w:sz w:val="21"/>
      <w:szCs w:val="21"/>
      <w:lang w:val="en-US"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54D1B"/>
    <w:rPr>
      <w:rFonts w:ascii="Consolas" w:eastAsia="Calibri" w:hAnsi="Consolas" w:cs="Times New Roman"/>
      <w:sz w:val="21"/>
      <w:szCs w:val="21"/>
      <w:lang w:val="en-US"/>
    </w:rPr>
  </w:style>
  <w:style w:type="paragraph" w:styleId="StandardWeb">
    <w:name w:val="Normal (Web)"/>
    <w:basedOn w:val="Standard"/>
    <w:uiPriority w:val="99"/>
    <w:unhideWhenUsed/>
    <w:rsid w:val="00654D1B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0B0203"/>
    <w:pPr>
      <w:ind w:left="720"/>
      <w:contextualSpacing/>
    </w:pPr>
  </w:style>
  <w:style w:type="paragraph" w:customStyle="1" w:styleId="Default">
    <w:name w:val="Default"/>
    <w:rsid w:val="000246F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el1">
    <w:name w:val="Titel_1"/>
    <w:basedOn w:val="Standard"/>
    <w:rsid w:val="007A3164"/>
    <w:pPr>
      <w:numPr>
        <w:numId w:val="14"/>
      </w:numPr>
    </w:pPr>
    <w:rPr>
      <w:rFonts w:ascii="Times New Roman" w:eastAsia="Batang" w:hAnsi="Times New Roman"/>
      <w:sz w:val="24"/>
      <w:szCs w:val="24"/>
      <w:lang w:val="de-DE" w:eastAsia="ko-KR"/>
    </w:rPr>
  </w:style>
  <w:style w:type="character" w:styleId="Platzhaltertext">
    <w:name w:val="Placeholder Text"/>
    <w:basedOn w:val="Absatz-Standardschriftart"/>
    <w:uiPriority w:val="99"/>
    <w:semiHidden/>
    <w:rsid w:val="00150CF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DE2A2-9C90-4773-BF09-1AA518DB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WKO Inhouse GmbH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Kramer</dc:creator>
  <cp:lastModifiedBy>lzpoulha</cp:lastModifiedBy>
  <cp:revision>6</cp:revision>
  <cp:lastPrinted>2013-03-15T12:45:00Z</cp:lastPrinted>
  <dcterms:created xsi:type="dcterms:W3CDTF">2013-03-15T12:33:00Z</dcterms:created>
  <dcterms:modified xsi:type="dcterms:W3CDTF">2013-03-15T12:59:00Z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167863046</vt:i4>
  </property>
  <property fmtid="{D5CDD505-2E9C-101B-9397-08002B2CF9AE}" pid="4" name="_EmailSubject">
    <vt:lpwstr>Begutachtungsentwurf Gas-Marktmodell-Verordnung Novelle 2013</vt:lpwstr>
  </property>
  <property fmtid="{D5CDD505-2E9C-101B-9397-08002B2CF9AE}" pid="5" name="_AuthorEmail">
    <vt:lpwstr>Haralabos.Poultidis@borealisgroup.com</vt:lpwstr>
  </property>
  <property fmtid="{D5CDD505-2E9C-101B-9397-08002B2CF9AE}" pid="6" name="_AuthorEmailDisplayName">
    <vt:lpwstr>Poultidis, Haralabos</vt:lpwstr>
  </property>
  <property fmtid="{D5CDD505-2E9C-101B-9397-08002B2CF9AE}" pid="7" name="_PreviousAdHocReviewCycleID">
    <vt:i4>167863046</vt:i4>
  </property>
</Properties>
</file>